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eastAsia="zh-CN"/>
        </w:rPr>
        <w:t>农田建设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项目计划备案材料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（格式提纲）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任务分解</w:t>
      </w:r>
      <w:r>
        <w:rPr>
          <w:rFonts w:hint="eastAsia" w:ascii="仿宋_GB2312" w:hAnsi="仿宋" w:eastAsia="仿宋_GB2312"/>
          <w:sz w:val="32"/>
          <w:szCs w:val="32"/>
        </w:rPr>
        <w:t>、区域布局与开发重点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二、投资规模及资金构成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三、开发任务及主要建设内容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四、项目总体安排情况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五、预期效益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六、需单独说明内容，包括：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优先支持“两区”情况，包括在已划定“两区”范围内安排农田建设项目个数、建设面积、投资安排等；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优先支持贫困地区情况，包括在全国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832个贫困县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安排农田建设项目个数、建设面积、投资安排等，在“三区三州”等深度贫困地区安排农田建设项目个数、建设面积、投资安排等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优先支持符合条件的国家种子基地情况，包括在国家杂交水稻制种基地安排农田建设项目个数、建设面积、投资安排等，在国家玉米制种基地安排农田建设项目个数、建设面积、投资安排等。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" w:eastAsia="仿宋_GB2312"/>
          <w:sz w:val="32"/>
          <w:szCs w:val="32"/>
        </w:rPr>
        <w:t>省级对设区市或县级的项目计划批复文件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1.高标准农田建设项目投资和任务情况表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2.高标准农田建设项目预期效益表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3.重点支持领域投资和任务情况表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279A"/>
    <w:rsid w:val="22A02A00"/>
    <w:rsid w:val="23F205CE"/>
    <w:rsid w:val="25B2279A"/>
    <w:rsid w:val="2A517EE0"/>
    <w:rsid w:val="2ED660D9"/>
    <w:rsid w:val="34773B97"/>
    <w:rsid w:val="359E2563"/>
    <w:rsid w:val="58506EC4"/>
    <w:rsid w:val="67DD1CEE"/>
    <w:rsid w:val="72F31134"/>
    <w:rsid w:val="7FD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2019-02-28T03:05:00Z</dcterms:created>
  <dc:creator>张帅</dc:creator>
  <cp:lastModifiedBy>张帅</cp:lastModifiedBy>
  <cp:lastPrinted>2019-03-11T03:08:00Z</cp:lastPrinted>
  <dcterms:modified xsi:type="dcterms:W3CDTF">2019-03-12T08:11:11Z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